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A5BD" w14:textId="77777777" w:rsidR="00DE6A42" w:rsidRDefault="00000000">
      <w:pPr>
        <w:ind w:firstLine="0"/>
        <w:jc w:val="center"/>
      </w:pPr>
      <w:r>
        <w:rPr>
          <w:b/>
          <w:sz w:val="28"/>
        </w:rPr>
        <w:t>AVANTAJELE ȘI RISCURILE UTILIZĂRII INTELIGENȚEI ARTIFICIALE ÎN CREAREA UNUI CLIMAT EDUCAȚIONAL INCLUZIV</w:t>
      </w:r>
    </w:p>
    <w:p w14:paraId="77E4455C" w14:textId="34776734" w:rsidR="00DE6A42" w:rsidRDefault="002A77FA">
      <w:pPr>
        <w:ind w:firstLine="0"/>
        <w:jc w:val="center"/>
      </w:pPr>
      <w:r>
        <w:t xml:space="preserve">                                                                                                                             prof. Iuliana Alina Halac</w:t>
      </w:r>
      <w:r>
        <w:br/>
        <w:t xml:space="preserve">                                                                                      Colegiul Economic „Dimitrie Cantemir” Suceava</w:t>
      </w:r>
    </w:p>
    <w:p w14:paraId="33836DD7" w14:textId="77777777" w:rsidR="002A77FA" w:rsidRDefault="002A77FA">
      <w:pPr>
        <w:ind w:firstLine="0"/>
        <w:jc w:val="center"/>
      </w:pPr>
    </w:p>
    <w:p w14:paraId="3853DB3D" w14:textId="50EE30C0" w:rsidR="00636E77" w:rsidRPr="002B2617" w:rsidRDefault="00000000" w:rsidP="002B2617">
      <w:pPr>
        <w:spacing w:line="320" w:lineRule="auto"/>
        <w:ind w:firstLine="720"/>
      </w:pPr>
      <w:r>
        <w:t>Idealul educațional al școlii românești constă, conform Legii învățământului preuniversitar nr. 198/2023, în dezvoltarea liberă, integrală și armonioasă a individualității umane, în formarea personalității autonome și în asumarea unui sistem de valori. În acest cadru, educația incluzivă pornește de la principiul potrivit căruia toți copiii ar trebui să învețe împreună, dincolo de dificultățile sau diferențele dintre ei, iar excluderea pe aceste criterii reprezintă o formă de discriminare</w:t>
      </w:r>
      <w:r w:rsidR="002A77FA">
        <w:rPr>
          <w:rStyle w:val="FootnoteReference"/>
        </w:rPr>
        <w:footnoteReference w:id="1"/>
      </w:r>
      <w:r>
        <w:t xml:space="preserve">. Cercetările recente </w:t>
      </w:r>
      <w:r w:rsidR="002A77FA">
        <w:t>evidențiază</w:t>
      </w:r>
      <w:r>
        <w:t xml:space="preserve">, de asemenea, că elevii cu cerințe educaționale speciale integrați într-un mediu incluziv pot obține rezultate </w:t>
      </w:r>
      <w:r w:rsidR="002A77FA">
        <w:t>școlare</w:t>
      </w:r>
      <w:r>
        <w:t xml:space="preserve"> și socio-emoționale superioare celor care urmează programe educaționale separate, fără ca elevii fără cerințe educaționale speciale să fie afectați negativ de această formă de organizare.</w:t>
      </w:r>
      <w:r w:rsidR="002A77FA">
        <w:t xml:space="preserve"> </w:t>
      </w:r>
      <w:r w:rsidR="002A77FA">
        <w:tab/>
      </w:r>
      <w:r w:rsidR="002A77FA">
        <w:br/>
        <w:t xml:space="preserve"> </w:t>
      </w:r>
      <w:r w:rsidR="002A77FA">
        <w:tab/>
      </w:r>
      <w:r>
        <w:t xml:space="preserve">În acest context, dezvoltarea inteligenței artificiale și extinderea tehnologiilor digitale reconfigurează relația dintre profesor, elev și conținutul învățării, ridicând întrebări legitime cu privire la rolul acestor instrumente în construirea unui mediu școlar echitabil. </w:t>
      </w:r>
      <w:r w:rsidR="002A77FA" w:rsidRPr="007F0881">
        <w:rPr>
          <w:szCs w:val="24"/>
        </w:rPr>
        <w:t xml:space="preserve">Problema devine stringentă în cadrul disciplinei </w:t>
      </w:r>
      <w:r w:rsidR="002A77FA">
        <w:rPr>
          <w:szCs w:val="24"/>
        </w:rPr>
        <w:t>l</w:t>
      </w:r>
      <w:r w:rsidR="002A77FA" w:rsidRPr="007F0881">
        <w:rPr>
          <w:szCs w:val="24"/>
        </w:rPr>
        <w:t>imba și literatura română, având în vedere că dezvoltarea competențelor de comunicare, a gândirii critice și a abilităților de receptare și interpretare a textului literar rămân valori centrale ale formării elevului.</w:t>
      </w:r>
      <w:r>
        <w:t xml:space="preserve"> Lucrarea de față examinează, dintr-o perspectivă echilibrată, atât potențialul, cât și riscurile utilizării inteligenței artificiale în crearea unui climat educațional incluziv.</w:t>
      </w:r>
      <w:r w:rsidR="002A77FA">
        <w:t xml:space="preserve"> </w:t>
      </w:r>
      <w:r w:rsidR="002A77FA">
        <w:br/>
        <w:t xml:space="preserve"> </w:t>
      </w:r>
      <w:r w:rsidR="002A77FA">
        <w:tab/>
      </w:r>
      <w:r>
        <w:t xml:space="preserve">Înainte de analiza propriu-zisă a beneficiilor și a limitelor, este necesară clarificarea raportului dintre diviziunea digitală și incluziunea digitală. </w:t>
      </w:r>
      <w:r w:rsidRPr="002A77FA">
        <w:rPr>
          <w:i/>
          <w:iCs/>
        </w:rPr>
        <w:t>Diviziunea digitală</w:t>
      </w:r>
      <w:r>
        <w:t xml:space="preserve"> desemnează diferențele dintre cei care au acces la internet și la dispozitive digitale și cei care nu dispun de aceste resurse, precum și diferențele dintre utilizatorii competenți și cei lipsiți de abilități digitale. În societatea actuală, excluderea digitală riscă să devină o formă de excludere socială</w:t>
      </w:r>
      <w:r w:rsidR="002A77FA">
        <w:rPr>
          <w:rStyle w:val="FootnoteReference"/>
        </w:rPr>
        <w:footnoteReference w:id="2"/>
      </w:r>
      <w:r>
        <w:t xml:space="preserve">. Spre deosebire de această perspectivă, </w:t>
      </w:r>
      <w:r w:rsidRPr="002A77FA">
        <w:rPr>
          <w:i/>
          <w:iCs/>
        </w:rPr>
        <w:t>incluziunea digitală</w:t>
      </w:r>
      <w:r>
        <w:t xml:space="preserve"> vizează soluții concrete: acces la dispozitive și internet, alfabetizare digitală, sprijin social și utilizarea efectivă a tehnologiilor informației și comunicațiilor</w:t>
      </w:r>
      <w:r w:rsidR="002A77FA">
        <w:rPr>
          <w:rStyle w:val="FootnoteReference"/>
        </w:rPr>
        <w:footnoteReference w:id="3"/>
      </w:r>
      <w:r>
        <w:t>.</w:t>
      </w:r>
      <w:r w:rsidR="002A77FA">
        <w:t xml:space="preserve"> </w:t>
      </w:r>
      <w:r>
        <w:t xml:space="preserve">Clasa în care intră astăzi profesorul de limba și literatura română este una eterogenă. Alături de elevii fără dificultăți deosebite, se află copii cu tulburare de </w:t>
      </w:r>
      <w:r w:rsidRPr="002A77FA">
        <w:rPr>
          <w:i/>
          <w:iCs/>
        </w:rPr>
        <w:t>deficit de atenție și hiperactivitate</w:t>
      </w:r>
      <w:r>
        <w:t xml:space="preserve">, </w:t>
      </w:r>
      <w:r w:rsidRPr="002A77FA">
        <w:rPr>
          <w:i/>
          <w:iCs/>
        </w:rPr>
        <w:t xml:space="preserve">tulburări specifice de </w:t>
      </w:r>
      <w:r w:rsidRPr="002A77FA">
        <w:rPr>
          <w:i/>
          <w:iCs/>
        </w:rPr>
        <w:lastRenderedPageBreak/>
        <w:t>învățare</w:t>
      </w:r>
      <w:r>
        <w:t xml:space="preserve">, tulburare de </w:t>
      </w:r>
      <w:r w:rsidRPr="002A77FA">
        <w:rPr>
          <w:i/>
          <w:iCs/>
        </w:rPr>
        <w:t>spectru autist</w:t>
      </w:r>
      <w:r>
        <w:t xml:space="preserve">, </w:t>
      </w:r>
      <w:r w:rsidRPr="002A77FA">
        <w:rPr>
          <w:i/>
          <w:iCs/>
        </w:rPr>
        <w:t>dizabilități intelectuale</w:t>
      </w:r>
      <w:r>
        <w:t xml:space="preserve">, </w:t>
      </w:r>
      <w:r w:rsidRPr="002A77FA">
        <w:rPr>
          <w:i/>
          <w:iCs/>
        </w:rPr>
        <w:t>deficiențe senzoriale</w:t>
      </w:r>
      <w:r>
        <w:t xml:space="preserve">, </w:t>
      </w:r>
      <w:r w:rsidRPr="002A77FA">
        <w:rPr>
          <w:i/>
          <w:iCs/>
        </w:rPr>
        <w:t>mutism selectiv</w:t>
      </w:r>
      <w:r>
        <w:t xml:space="preserve">, precum și elevi proveniți din </w:t>
      </w:r>
      <w:r w:rsidRPr="002A77FA">
        <w:rPr>
          <w:i/>
          <w:iCs/>
        </w:rPr>
        <w:t>medii socio-economice vulnerabile</w:t>
      </w:r>
      <w:r>
        <w:t xml:space="preserve"> sau din familii de </w:t>
      </w:r>
      <w:r w:rsidRPr="002A77FA">
        <w:rPr>
          <w:i/>
          <w:iCs/>
        </w:rPr>
        <w:t>migranți</w:t>
      </w:r>
      <w:r>
        <w:t>. Vulnerabilitățile existente în mediul offline se pot prelungi și amplifica în spațiul online, unde acești elevi pot fi expuși cyberbullyingului, fraudei digitale sau manipulării informaționale</w:t>
      </w:r>
      <w:r w:rsidR="00654045">
        <w:rPr>
          <w:rStyle w:val="FootnoteReference"/>
        </w:rPr>
        <w:footnoteReference w:id="4"/>
      </w:r>
      <w:r>
        <w:t>.</w:t>
      </w:r>
      <w:r w:rsidR="001B5999">
        <w:t xml:space="preserve"> </w:t>
      </w:r>
      <w:r w:rsidR="001B5999">
        <w:tab/>
      </w:r>
      <w:r w:rsidR="001B5999">
        <w:br/>
        <w:t xml:space="preserve"> </w:t>
      </w:r>
      <w:r w:rsidR="001B5999">
        <w:tab/>
      </w:r>
      <w:r>
        <w:t>Folosită cu discernământ pedagogic, inteligența artificială poate sprijini diferențierea și personalizarea învățării, două direcții fundamentale ale educației digitale incluzive. Un prim beneficiu îl constituie sprijinul compensator oferit elevilor cu cerințe educaționale speciale prin tehnologia asistată, care facilitează accesul la materiale educaționale adaptate, participarea la activitățile clasei și comunicarea cu profesorii și colegii</w:t>
      </w:r>
      <w:r w:rsidR="00654045">
        <w:rPr>
          <w:rStyle w:val="FootnoteReference"/>
        </w:rPr>
        <w:footnoteReference w:id="5"/>
      </w:r>
      <w:r>
        <w:t xml:space="preserve">. Aplicațiile de tip </w:t>
      </w:r>
      <w:r w:rsidRPr="00654045">
        <w:rPr>
          <w:i/>
          <w:iCs/>
        </w:rPr>
        <w:t>text-to-speech</w:t>
      </w:r>
      <w:r>
        <w:t xml:space="preserve"> pot susține elevii cu dificultăți de citire, contribuind la înțelegerea textului și la creșterea motivației pentru învățare.</w:t>
      </w:r>
      <w:r w:rsidR="00654045">
        <w:t xml:space="preserve"> </w:t>
      </w:r>
      <w:r w:rsidR="00654045">
        <w:tab/>
      </w:r>
      <w:r w:rsidR="00654045">
        <w:br/>
        <w:t xml:space="preserve"> </w:t>
      </w:r>
      <w:r w:rsidR="00654045">
        <w:tab/>
      </w:r>
      <w:r>
        <w:t xml:space="preserve">În cazul elevilor cu ADHD, implicarea activă poate fi susținută prin sarcini scurte, structurate </w:t>
      </w:r>
      <w:r w:rsidR="00654045">
        <w:t>în diverși</w:t>
      </w:r>
      <w:r>
        <w:t xml:space="preserve"> pași, instrucțiuni clare, feedback constant, auto-monitorizarea progresului, sisteme de recompensă și, atunci când este posibil, sprijinul unui coleg-tutore. Pentru elevii cu dizabilități intelectuale, tutorialele, jocurile educaționale și aplicațiile digitale trebuie adaptate nivelului de dezvoltare și utilizate într-un cadru atent supravegheat, deoarece riscurile mediului online pot fi mai greu de anticipat. În cazul elevilor cu tulburare de spectru autist, resursele vizuale, predictibile și bine structurate pot sprijini comunicarea, recunoașterea emoțiilor, autonomia și exersarea unor comportamente sociale într-un mediu sigur. Aceste strategii sunt valoroase nu prin noutatea lor tehnologică, ci prin capacitatea de a crea acces real la învățare.</w:t>
      </w:r>
      <w:r w:rsidR="00654045">
        <w:t xml:space="preserve"> </w:t>
      </w:r>
      <w:r w:rsidR="00654045">
        <w:tab/>
      </w:r>
      <w:r w:rsidR="00654045">
        <w:br/>
        <w:t xml:space="preserve"> </w:t>
      </w:r>
      <w:r w:rsidR="00654045">
        <w:tab/>
      </w:r>
      <w:r>
        <w:t>Un al doilea beneficiu vizează adaptarea diferențiată a conținutului. Piramida de planificare a instruirii, propusă de Schumm, Vaughn și Leavell, oferă un cadru util de proiectare, structurat în jurul a trei întrebări: ce trebuie să învețe toți elevii, ce trebuie să învețe majoritatea și ce pot aprofunda doar unii dintre ei</w:t>
      </w:r>
      <w:r w:rsidR="00654045">
        <w:rPr>
          <w:rStyle w:val="FootnoteReference"/>
        </w:rPr>
        <w:footnoteReference w:id="6"/>
      </w:r>
      <w:r w:rsidR="00654045">
        <w:t>.</w:t>
      </w:r>
      <w:r>
        <w:t xml:space="preserve"> Pornind de la acest model, inteligența artificială poate susține elaborarea unor variante diferite ale aceluiași text literar: rezumat vizual sau suport audio pentru elevii cu dificultăți majore, text original cu note de sprijin pentru elevii cu dificultăți medii și sarcini de analiză independentă pentru elevii avansați.</w:t>
      </w:r>
      <w:r w:rsidR="00654045">
        <w:t xml:space="preserve"> </w:t>
      </w:r>
      <w:r w:rsidR="00654045">
        <w:tab/>
      </w:r>
      <w:r w:rsidR="00654045">
        <w:br/>
        <w:t xml:space="preserve"> </w:t>
      </w:r>
      <w:r w:rsidR="00654045">
        <w:tab/>
      </w:r>
      <w:r>
        <w:t>Personalizarea învățării presupune dezvoltarea gândirii critice, îmbunătățirea abilităților de învățare, motivarea elevilor, construirea de cunoștințe, proiectarea unor modele de evaluare, utilizarea tehnologiei și formarea continuă a profesorului</w:t>
      </w:r>
      <w:r w:rsidR="00654045">
        <w:rPr>
          <w:rStyle w:val="FootnoteReference"/>
        </w:rPr>
        <w:footnoteReference w:id="7"/>
      </w:r>
      <w:r>
        <w:t xml:space="preserve">. În cadrul orei de limba și literatura română, aceste dimensiuni pot fi valorificate prin întrebări diferențiate, hărți mentale, fișe de lucru adaptate, suporturi audio, exerciții de rescriere, activități de argumentare și sarcini de reflecție asupra textului. Astfel, tehnologia devine un instrument de accesibilizare a lecturii și de dezvoltare a interpretării, nu un </w:t>
      </w:r>
      <w:r>
        <w:lastRenderedPageBreak/>
        <w:t>substitut al gândirii critice.</w:t>
      </w:r>
      <w:r w:rsidR="001B5999">
        <w:t xml:space="preserve"> </w:t>
      </w:r>
      <w:r w:rsidR="001B5999">
        <w:tab/>
      </w:r>
      <w:r w:rsidR="001B5999">
        <w:br/>
        <w:t xml:space="preserve"> </w:t>
      </w:r>
      <w:r w:rsidR="001B5999">
        <w:tab/>
      </w:r>
      <w:r w:rsidRPr="001B5999">
        <w:rPr>
          <w:i/>
          <w:iCs/>
        </w:rPr>
        <w:t>Participarea activă</w:t>
      </w:r>
      <w:r>
        <w:t xml:space="preserve"> nu se reduce la accesarea unei platforme online sau la prezența formală la activități. </w:t>
      </w:r>
      <w:r w:rsidR="001B5999">
        <w:t>Aceasta</w:t>
      </w:r>
      <w:r>
        <w:t xml:space="preserve"> presupune un angajament comportamental, cognitiv, emoțional și social: elevul utilizează resursele digitale, procesează informația, își menține motivația și colaborează cu profesorul și colegii. De aceea, proiectarea activităților digitale trebuie să integreze interacțiunea, multimodalitatea și feedbackul constructiv. Resurse precum textul, imaginea, sunetul, materialele video, cărțile electronice, lecțiile online, jocurile educaționale, aplicațiile mobile, realitatea virtuală, testele și quizurile interactive devin eficiente doar atunci când sunt integrate în sarcini relevante, corelate cu programa școlară și cu nevoile reale ale clasei</w:t>
      </w:r>
      <w:r w:rsidR="001B5999">
        <w:rPr>
          <w:rStyle w:val="FootnoteReference"/>
        </w:rPr>
        <w:footnoteReference w:id="8"/>
      </w:r>
      <w:r w:rsidR="001B5999">
        <w:t xml:space="preserve">.  </w:t>
      </w:r>
      <w:r w:rsidR="001B5999">
        <w:tab/>
      </w:r>
      <w:r w:rsidR="001B5999">
        <w:br/>
        <w:t xml:space="preserve"> </w:t>
      </w:r>
      <w:r w:rsidR="001B5999">
        <w:tab/>
      </w:r>
      <w:r>
        <w:t>Tehnologiile digitale pot susține atât activități sincrone, desfășurate în timp real, cât și activități asincrone, rezolvate în ritmul propriu al elevului</w:t>
      </w:r>
      <w:r w:rsidR="001B5999">
        <w:t>, însă a</w:t>
      </w:r>
      <w:r>
        <w:t xml:space="preserve">ceastă flexibilitate favorizează autonomia, dar nu elimină necesitatea coordonării profesorului. Pentru a preveni </w:t>
      </w:r>
      <w:r w:rsidR="001B5999">
        <w:t>lipsa de implicare</w:t>
      </w:r>
      <w:r>
        <w:t xml:space="preserve">, activitățile individuale trebuie alternate cu cele de grup. Sarcinile individuale dezvoltă responsabilitatea personală, iar cele colaborative stimulează comunicarea și cooperarea; totuși, activitățile de grup nu trebuie folosite exclusiv, deoarece există riscul ca un singur elev să preia rezolvarea, în timp ce ceilalți rămân pasivi. </w:t>
      </w:r>
      <w:r w:rsidR="001B5999">
        <w:t>În acest context, p</w:t>
      </w:r>
      <w:r>
        <w:t>rofesorul are rolul de a distribui sarcinile, de a monitoriza participarea și de a oferi feedback echilibrat fiecărui membru al grupului.</w:t>
      </w:r>
      <w:r w:rsidR="001B5999">
        <w:t xml:space="preserve"> </w:t>
      </w:r>
      <w:r w:rsidR="001B5999">
        <w:tab/>
      </w:r>
      <w:r w:rsidR="001B5999">
        <w:br/>
        <w:t xml:space="preserve"> </w:t>
      </w:r>
      <w:r w:rsidR="001B5999">
        <w:tab/>
      </w:r>
      <w:r>
        <w:t xml:space="preserve">Un cadru util pentru proiectarea materialelor incluzive este FRoLLM, care propune reflecția asupra nevoilor elevilor, mediului de învățare, feedbackului, autonomiei, reflecției asupra propriei învățări și coerenței pedagogice a materialelor. </w:t>
      </w:r>
      <w:r w:rsidR="001B5999">
        <w:t>A</w:t>
      </w:r>
      <w:r>
        <w:t>cest cadru sprijină proiectarea unor sarcini diferențiate, adaptate nivelului de înțelegere, ritmului de lucru și modalităților diferite de exprimare ale elevilor. Astfel, aceeași cerință de analiză a unui fragment literar poate fi formulată gradual: elevii cu dificultăți majore pot primi întrebări de sprijin și cuvinte-cheie, elevii cu dificultăți medii pot lucra după un plan de analiză, iar elevii avansați pot formula interpretări independente și opinii argumentate.</w:t>
      </w:r>
      <w:r w:rsidR="001B5999">
        <w:t xml:space="preserve"> </w:t>
      </w:r>
      <w:r>
        <w:t>Totodată, conceptele-cheie pot fi prezentate în forme variate: rezumat vizual, hartă mentală, text simplificat, material audio, reprezentare grafică a structurii narative sau discuție interactivă. Adaptarea materialului presupune și ajustări aparent simple, dar esențiale: dimensiunea textului și a imaginilor, contrastul cromatic, volumul sunetului, claritatea instrucțiunilor și disponibilitatea unor alternative pentru elevii care întâmpină dificultăți senzoriale sau cognitive. În acest fel, inteligența artificială și tehnologiile digitale pot funcționa ca instrumente de schelărie cognitivă, oferind sprijin temporar până când elevul dobândește mai multă autonomie.</w:t>
      </w:r>
      <w:r w:rsidR="001B5999">
        <w:t xml:space="preserve"> </w:t>
      </w:r>
      <w:r w:rsidR="001B5999">
        <w:tab/>
      </w:r>
      <w:r w:rsidR="001B5999">
        <w:br/>
        <w:t xml:space="preserve"> </w:t>
      </w:r>
      <w:r w:rsidR="001B5999">
        <w:tab/>
      </w:r>
      <w:r>
        <w:t>Integrarea inteligenței artificiale în actul didactic presupune și o serie de bariere care nu pot fi ignorate. Van Dijk identifică patru categorii de bariere ale incluziunii digitale: bariere motivaționale</w:t>
      </w:r>
      <w:r w:rsidR="003004A9">
        <w:t xml:space="preserve"> </w:t>
      </w:r>
      <w:r w:rsidR="003004A9">
        <w:rPr>
          <w:szCs w:val="24"/>
        </w:rPr>
        <w:t>(lipsa de interes, atitudinile negative)</w:t>
      </w:r>
      <w:r>
        <w:t xml:space="preserve">, </w:t>
      </w:r>
      <w:r w:rsidR="003004A9">
        <w:rPr>
          <w:szCs w:val="24"/>
        </w:rPr>
        <w:t xml:space="preserve">(lipsa materialelor digitale), bariere de abilități (lipsa de competențe digitale, de educație digitală, de rețele de suport social) și bariere de utilizare (lipsa </w:t>
      </w:r>
      <w:r w:rsidR="003004A9">
        <w:rPr>
          <w:szCs w:val="24"/>
        </w:rPr>
        <w:lastRenderedPageBreak/>
        <w:t>oportunităților de a folosi tehnologiile digitale</w:t>
      </w:r>
      <w:r w:rsidR="001B5999">
        <w:t>.</w:t>
      </w:r>
      <w:r>
        <w:t xml:space="preserve"> </w:t>
      </w:r>
      <w:r w:rsidR="003004A9">
        <w:rPr>
          <w:szCs w:val="24"/>
        </w:rPr>
        <w:t xml:space="preserve">La acestea se adaugă riscuri specifice contextului inteligenței artificiale, dintre care cele mai îngrijorătoare privesc tocmai grupurile vulnerabile pe care această tehnologie își propune să le sprijine. Astfel, elevii cu tulburare de deficit de atenție și hiperactivitate sunt mai predispuși la utilizarea excesivă a tehnologiei, la cyberbullying și la expunerea la fraude online, în vreme ce elevii cu dizabilități intelectuale au o conștientizare redusă a pericolelor digitale și sunt mai vulnerabili la fenomene precum sextingul. La rândul lor, copiii cu tulburare de spectru autist pot dezvolta un atașament excesiv față de tehnologie, folosind-o ca refugiu din fața interacțiunilor sociale, în detrimentul exersării competențelor de comunicare în viața reală.  </w:t>
      </w:r>
      <w:r w:rsidR="003004A9">
        <w:rPr>
          <w:szCs w:val="24"/>
        </w:rPr>
        <w:tab/>
      </w:r>
      <w:r w:rsidR="003004A9">
        <w:rPr>
          <w:szCs w:val="24"/>
        </w:rPr>
        <w:br/>
        <w:t xml:space="preserve"> </w:t>
      </w:r>
      <w:r w:rsidR="003004A9">
        <w:rPr>
          <w:szCs w:val="24"/>
        </w:rPr>
        <w:tab/>
      </w:r>
      <w:r>
        <w:t xml:space="preserve">Un alt risc </w:t>
      </w:r>
      <w:r w:rsidR="00E9296E">
        <w:t>vizeaz</w:t>
      </w:r>
      <w:r w:rsidR="00E9296E">
        <w:rPr>
          <w:lang w:val="ro-RO"/>
        </w:rPr>
        <w:t>ă</w:t>
      </w:r>
      <w:r>
        <w:t xml:space="preserve"> barierele atitudinale și emoționale ale cadrelor didactice. </w:t>
      </w:r>
      <w:r w:rsidR="003004A9">
        <w:rPr>
          <w:szCs w:val="24"/>
        </w:rPr>
        <w:t>Sistemul de credințe al profesorului reprezintă un factor-cheie în susținerea incluziunii</w:t>
      </w:r>
      <w:r>
        <w:t>: o atitudine negativă față de diversitatea elevilor sau față de utilizarea tehnologiei poate deveni o barieră în sine. La aceasta se adaugă teama de creștere a volumului de muncă, dificultatea evaluării într-o clasă eterogenă, percepția unei pregătiri insuficiente și îngrijorările legate de securitatea cibernetică.</w:t>
      </w:r>
      <w:r w:rsidR="00636E77">
        <w:t xml:space="preserve"> </w:t>
      </w:r>
      <w:r w:rsidR="00636E77">
        <w:tab/>
      </w:r>
      <w:r w:rsidR="00636E77">
        <w:br/>
        <w:t xml:space="preserve"> </w:t>
      </w:r>
      <w:r w:rsidR="00636E77">
        <w:tab/>
        <w:t>Totodată, trebuie să ținem cont de c</w:t>
      </w:r>
      <w:r>
        <w:t>onfidențialitatea datelor elevilor</w:t>
      </w:r>
      <w:r w:rsidR="00636E77">
        <w:t xml:space="preserve">, </w:t>
      </w:r>
      <w:r>
        <w:t>una dintre cele mai delicate probleme ale utilizării inteligenței artificiale în școală. Introducerea în platforme externe a unor texte produse de elevi minori ridică probleme reale din perspectiva Regulamentului General privind Protecția Datelor. Profesorul trebuie să verifice termenii de utilizare ai platformelor, să evite încărcarea de informații personale sau identificabile și să solicite consimțământ informat atunci când situația o impune. În plus, utilizarea excesivă a tehnologiei poate conduce la dependență, suprastimulare, dificultăți de organizare a timpului sau stres cognitiv, mai ales pentru elevii cu sensibilit</w:t>
      </w:r>
      <w:r w:rsidR="008A6493">
        <w:t>ate</w:t>
      </w:r>
      <w:r>
        <w:t xml:space="preserve"> senzorial</w:t>
      </w:r>
      <w:r w:rsidR="008A6493">
        <w:t>ă</w:t>
      </w:r>
      <w:r>
        <w:t>.</w:t>
      </w:r>
      <w:r w:rsidR="00636E77">
        <w:t xml:space="preserve"> </w:t>
      </w:r>
      <w:r w:rsidR="008A6493">
        <w:t xml:space="preserve"> </w:t>
      </w:r>
      <w:r w:rsidR="00636E77">
        <w:br/>
        <w:t xml:space="preserve"> </w:t>
      </w:r>
      <w:r w:rsidR="00636E77">
        <w:tab/>
      </w:r>
      <w:r w:rsidR="00636E77">
        <w:rPr>
          <w:szCs w:val="24"/>
        </w:rPr>
        <w:t>Aplicat la disciplina limba și literatura română, acest peisaj cu lumini și umbre îl plasează pe profesor într-o poziție delicată, dar nu lipsită de soluții. Adoptând o atitudine de facilitator, profesorul oferă elevului spațiu pentru autonomie și o poziție de participant activ la procesul de învățare</w:t>
      </w:r>
      <w:r w:rsidR="00636E77">
        <w:rPr>
          <w:rStyle w:val="FootnoteReference"/>
        </w:rPr>
        <w:footnoteReference w:id="9"/>
      </w:r>
      <w:r w:rsidR="00636E77">
        <w:rPr>
          <w:szCs w:val="24"/>
        </w:rPr>
        <w:t>, iar a demonstra unui elev cum se rezolvă o problemă nu mai este suficient pentru ca actul învățării să aibă loc. Inteligența artificială devine, în această logică, un instrument de schelărie cognitivă: ea poate sprijini accesul echitabil la text, diferențierea reală a sarcinilor și exprimarea personalizată, respectând  condiția ca alfabetizarea digitală a elevilor, atitudinea responsabilă a cadrului didactic și protecția datelor să fie tratate cu egală seriozitate.</w:t>
      </w:r>
      <w:r w:rsidR="002B2617">
        <w:rPr>
          <w:szCs w:val="24"/>
        </w:rPr>
        <w:t xml:space="preserve"> </w:t>
      </w:r>
      <w:r w:rsidR="002B2617">
        <w:rPr>
          <w:szCs w:val="24"/>
        </w:rPr>
        <w:tab/>
      </w:r>
      <w:r w:rsidR="002B2617">
        <w:br/>
        <w:t xml:space="preserve"> </w:t>
      </w:r>
      <w:r w:rsidR="002B2617">
        <w:tab/>
      </w:r>
      <w:r w:rsidR="00636E77">
        <w:rPr>
          <w:szCs w:val="24"/>
        </w:rPr>
        <w:t xml:space="preserve">În concluzie, inteligența artificială nu este, în sine, nici garanția unui climat educațional incluziv, nici amenințarea acestuia. Ea devine, în fiecare clasă, exact ceea ce profesorul alege să facă din ea. Educația digitală incluzivă nu se reduce la dotarea cu tehnologie, ci presupune, în primul rând, o schimbare de paradigmă: trecerea de la metoda centrată pe profesor, în care acesta constituie principala sursă de furnizare a informațiilor, la o abordare centrată pe elev, axată pe colaborare, participare activă și învățare personalizată. Profesorul de limba și literatura română rămâne, în acest peisaj, un mediator </w:t>
      </w:r>
      <w:r w:rsidR="00636E77">
        <w:rPr>
          <w:szCs w:val="24"/>
        </w:rPr>
        <w:lastRenderedPageBreak/>
        <w:t>între tehnologie și umanitate, între text și suflet, având misiunea de a transforma diversitatea elevilor săi într-o resursă valoroasă, nu într-un obstacol în calea învățării.</w:t>
      </w:r>
    </w:p>
    <w:p w14:paraId="272E6CA0" w14:textId="040E8C54" w:rsidR="00DE6A42" w:rsidRDefault="00DE6A42" w:rsidP="00636E77"/>
    <w:p w14:paraId="0D6172B5" w14:textId="77777777" w:rsidR="00636E77" w:rsidRPr="00290DA2" w:rsidRDefault="00636E77" w:rsidP="00636E77">
      <w:pPr>
        <w:spacing w:before="360" w:after="240"/>
        <w:jc w:val="center"/>
        <w:rPr>
          <w:szCs w:val="24"/>
        </w:rPr>
      </w:pPr>
      <w:r w:rsidRPr="00290DA2">
        <w:rPr>
          <w:b/>
          <w:bCs/>
          <w:szCs w:val="24"/>
        </w:rPr>
        <w:t>BIBLIOGRAFIE SELECTIVĂ</w:t>
      </w:r>
    </w:p>
    <w:p w14:paraId="6E7A4F82" w14:textId="77777777" w:rsidR="00636E77" w:rsidRDefault="00636E77" w:rsidP="00636E77">
      <w:pPr>
        <w:pStyle w:val="ListParagraph"/>
        <w:numPr>
          <w:ilvl w:val="0"/>
          <w:numId w:val="10"/>
        </w:numPr>
        <w:spacing w:after="60" w:line="300" w:lineRule="auto"/>
        <w:contextualSpacing w:val="0"/>
      </w:pPr>
      <w:r>
        <w:rPr>
          <w:sz w:val="22"/>
        </w:rPr>
        <w:t>Calderón Gómez, Daniel, „The Third Digital Divide and Bourdieu: Bidirectional Conversion of Economic, Cultural and Social Capital to (and from) Digital Capital”, în New Media &amp; Society, 2020.</w:t>
      </w:r>
    </w:p>
    <w:p w14:paraId="6549328C" w14:textId="77777777" w:rsidR="00636E77" w:rsidRDefault="00636E77" w:rsidP="00636E77">
      <w:pPr>
        <w:pStyle w:val="ListParagraph"/>
        <w:numPr>
          <w:ilvl w:val="0"/>
          <w:numId w:val="10"/>
        </w:numPr>
        <w:spacing w:after="60" w:line="300" w:lineRule="auto"/>
        <w:contextualSpacing w:val="0"/>
      </w:pPr>
      <w:r>
        <w:rPr>
          <w:sz w:val="22"/>
        </w:rPr>
        <w:t>Clarida, A., articol privind rolul de facilitator al cadrului didactic în mediul digital, 2017.</w:t>
      </w:r>
    </w:p>
    <w:p w14:paraId="44251CAB" w14:textId="77777777" w:rsidR="00636E77" w:rsidRDefault="00636E77" w:rsidP="00636E77">
      <w:pPr>
        <w:pStyle w:val="ListParagraph"/>
        <w:numPr>
          <w:ilvl w:val="0"/>
          <w:numId w:val="10"/>
        </w:numPr>
        <w:spacing w:after="60" w:line="300" w:lineRule="auto"/>
        <w:contextualSpacing w:val="0"/>
      </w:pPr>
      <w:r>
        <w:rPr>
          <w:sz w:val="22"/>
        </w:rPr>
        <w:t>Dignath, Charlotte; Rimm-Kaufman, Sara; van Ewijk, Reyn; Kunter, Mareike, „Teachers' Beliefs about Inclusive Education and Insights on What Contributes to Those Beliefs”, în Educational Psychology Review, 2022.</w:t>
      </w:r>
    </w:p>
    <w:p w14:paraId="5EC9B6F8" w14:textId="77777777" w:rsidR="00636E77" w:rsidRDefault="00636E77" w:rsidP="00636E77">
      <w:pPr>
        <w:pStyle w:val="ListParagraph"/>
        <w:numPr>
          <w:ilvl w:val="0"/>
          <w:numId w:val="10"/>
        </w:numPr>
        <w:spacing w:after="60" w:line="300" w:lineRule="auto"/>
        <w:contextualSpacing w:val="0"/>
      </w:pPr>
      <w:r>
        <w:rPr>
          <w:sz w:val="22"/>
        </w:rPr>
        <w:t>Dijk, Jan van, The Network Society: Social Aspects of New Media, Sage Publications, Londra, 1999.</w:t>
      </w:r>
    </w:p>
    <w:p w14:paraId="7B7D22AE" w14:textId="77777777" w:rsidR="00636E77" w:rsidRDefault="00636E77" w:rsidP="00636E77">
      <w:pPr>
        <w:pStyle w:val="ListParagraph"/>
        <w:numPr>
          <w:ilvl w:val="0"/>
          <w:numId w:val="10"/>
        </w:numPr>
        <w:spacing w:after="60" w:line="300" w:lineRule="auto"/>
        <w:contextualSpacing w:val="0"/>
      </w:pPr>
      <w:r>
        <w:rPr>
          <w:sz w:val="22"/>
        </w:rPr>
        <w:t>El Asam, Aiman; Katz, Adrienne, „Vulnerable Young People and Their Experience of Online Risks”, în Human–Computer Interaction, 2018.</w:t>
      </w:r>
    </w:p>
    <w:p w14:paraId="0AA85E35" w14:textId="77777777" w:rsidR="00636E77" w:rsidRDefault="00636E77" w:rsidP="00636E77">
      <w:pPr>
        <w:pStyle w:val="ListParagraph"/>
        <w:numPr>
          <w:ilvl w:val="0"/>
          <w:numId w:val="10"/>
        </w:numPr>
        <w:spacing w:after="60" w:line="300" w:lineRule="auto"/>
        <w:contextualSpacing w:val="0"/>
      </w:pPr>
      <w:r>
        <w:rPr>
          <w:sz w:val="22"/>
        </w:rPr>
        <w:t>Reisdorf, Bianca C.; Rhinesmith, Colin, „Digital Inclusion as a Core Component of Social Inclusion”, în Social Inclusion, vol. 8, nr. 2, 2020.</w:t>
      </w:r>
    </w:p>
    <w:p w14:paraId="7832C76E" w14:textId="77777777" w:rsidR="00636E77" w:rsidRDefault="00636E77" w:rsidP="00636E77">
      <w:pPr>
        <w:pStyle w:val="ListParagraph"/>
        <w:numPr>
          <w:ilvl w:val="0"/>
          <w:numId w:val="10"/>
        </w:numPr>
        <w:spacing w:after="60" w:line="300" w:lineRule="auto"/>
        <w:contextualSpacing w:val="0"/>
      </w:pPr>
      <w:r>
        <w:rPr>
          <w:sz w:val="22"/>
        </w:rPr>
        <w:t>Schumm, Jeanne S.; Vaughn, Sharon; Leavell, Alison G., „Planning Pyramid: A Framework for Planning for Diverse Student Needs During Content Area Instruction”, 1997.</w:t>
      </w:r>
    </w:p>
    <w:p w14:paraId="4F19BF4C" w14:textId="77777777" w:rsidR="00636E77" w:rsidRDefault="00636E77" w:rsidP="00636E77">
      <w:pPr>
        <w:pStyle w:val="ListParagraph"/>
        <w:numPr>
          <w:ilvl w:val="0"/>
          <w:numId w:val="10"/>
        </w:numPr>
        <w:spacing w:after="60" w:line="300" w:lineRule="auto"/>
        <w:contextualSpacing w:val="0"/>
      </w:pPr>
      <w:r>
        <w:rPr>
          <w:sz w:val="22"/>
        </w:rPr>
        <w:t>UNESCO, The Salamanca Statement and Framework for Action on Special Needs Education, Salamanca, 1994.</w:t>
      </w:r>
    </w:p>
    <w:p w14:paraId="29CC95A9" w14:textId="77777777" w:rsidR="00636E77" w:rsidRDefault="00636E77" w:rsidP="00636E77">
      <w:pPr>
        <w:pStyle w:val="ListParagraph"/>
        <w:numPr>
          <w:ilvl w:val="0"/>
          <w:numId w:val="10"/>
        </w:numPr>
        <w:spacing w:after="60" w:line="300" w:lineRule="auto"/>
        <w:contextualSpacing w:val="0"/>
      </w:pPr>
      <w:r>
        <w:rPr>
          <w:sz w:val="22"/>
        </w:rPr>
        <w:t>Comisia Europeană, Digital Education Action Plan 2021–2027. Resetting Education and Training for the Digital Age, Bruxelles, 2020.</w:t>
      </w:r>
    </w:p>
    <w:p w14:paraId="28964013" w14:textId="77777777" w:rsidR="00636E77" w:rsidRPr="00636E77" w:rsidRDefault="00636E77" w:rsidP="00636E77">
      <w:pPr>
        <w:pStyle w:val="ListParagraph"/>
        <w:numPr>
          <w:ilvl w:val="0"/>
          <w:numId w:val="10"/>
        </w:numPr>
        <w:spacing w:after="60" w:line="300" w:lineRule="auto"/>
        <w:contextualSpacing w:val="0"/>
      </w:pPr>
      <w:r>
        <w:rPr>
          <w:sz w:val="22"/>
        </w:rPr>
        <w:t>Legea învățământului preuniversitar nr. 198/2023, publicată în Monitorul Oficial al României, Partea I, nr. 613/2023.</w:t>
      </w:r>
    </w:p>
    <w:p w14:paraId="1A994B51" w14:textId="77777777" w:rsidR="00636E77" w:rsidRDefault="00636E77" w:rsidP="00636E77">
      <w:pPr>
        <w:spacing w:after="60" w:line="300" w:lineRule="auto"/>
      </w:pPr>
    </w:p>
    <w:p w14:paraId="0AB1D0D2" w14:textId="77777777" w:rsidR="00636E77" w:rsidRDefault="00636E77" w:rsidP="00636E77">
      <w:pPr>
        <w:spacing w:after="60" w:line="300" w:lineRule="auto"/>
      </w:pPr>
    </w:p>
    <w:p w14:paraId="6584B735" w14:textId="77777777" w:rsidR="00636E77" w:rsidRDefault="00636E77" w:rsidP="00636E77">
      <w:pPr>
        <w:spacing w:after="60" w:line="300" w:lineRule="auto"/>
      </w:pPr>
    </w:p>
    <w:p w14:paraId="459B0403" w14:textId="77777777" w:rsidR="00636E77" w:rsidRDefault="00636E77" w:rsidP="00636E77">
      <w:pPr>
        <w:spacing w:after="60" w:line="300" w:lineRule="auto"/>
      </w:pPr>
    </w:p>
    <w:p w14:paraId="7FBD3C30" w14:textId="77777777" w:rsidR="00636E77" w:rsidRDefault="00636E77" w:rsidP="00636E77">
      <w:pPr>
        <w:spacing w:after="60" w:line="300" w:lineRule="auto"/>
      </w:pPr>
    </w:p>
    <w:p w14:paraId="327F5255" w14:textId="77777777" w:rsidR="00636E77" w:rsidRDefault="00636E77" w:rsidP="00636E77">
      <w:pPr>
        <w:spacing w:after="60" w:line="300" w:lineRule="auto"/>
      </w:pPr>
    </w:p>
    <w:p w14:paraId="12FCE73C" w14:textId="77777777" w:rsidR="00636E77" w:rsidRDefault="00636E77" w:rsidP="00636E77">
      <w:pPr>
        <w:spacing w:after="60" w:line="300" w:lineRule="auto"/>
      </w:pPr>
    </w:p>
    <w:p w14:paraId="23C24AF0" w14:textId="77777777" w:rsidR="00636E77" w:rsidRDefault="00636E77" w:rsidP="00636E77">
      <w:pPr>
        <w:spacing w:after="60" w:line="300" w:lineRule="auto"/>
      </w:pPr>
    </w:p>
    <w:p w14:paraId="7277224F" w14:textId="77777777" w:rsidR="00636E77" w:rsidRDefault="00636E77" w:rsidP="00636E77">
      <w:pPr>
        <w:spacing w:after="60" w:line="300" w:lineRule="auto"/>
      </w:pPr>
    </w:p>
    <w:p w14:paraId="5588950F" w14:textId="77777777" w:rsidR="00636E77" w:rsidRDefault="00636E77" w:rsidP="00636E77">
      <w:pPr>
        <w:spacing w:after="60" w:line="300" w:lineRule="auto"/>
      </w:pPr>
    </w:p>
    <w:p w14:paraId="589BC2A1" w14:textId="77777777" w:rsidR="00636E77" w:rsidRDefault="00636E77" w:rsidP="00636E77">
      <w:pPr>
        <w:spacing w:after="60" w:line="300" w:lineRule="auto"/>
      </w:pPr>
    </w:p>
    <w:p w14:paraId="22B53865" w14:textId="77777777" w:rsidR="00636E77" w:rsidRDefault="00000000" w:rsidP="00636E77">
      <w:pPr>
        <w:pStyle w:val="Heading1"/>
        <w:jc w:val="left"/>
        <w:rPr>
          <w:rFonts w:ascii="Times New Roman" w:eastAsia="Times New Roman" w:hAnsi="Times New Roman"/>
          <w:b w:val="0"/>
          <w:bCs w:val="0"/>
          <w:sz w:val="24"/>
          <w:szCs w:val="24"/>
        </w:rPr>
      </w:pPr>
      <w:r w:rsidRPr="00636E77">
        <w:rPr>
          <w:rFonts w:ascii="Times New Roman" w:eastAsia="Times New Roman" w:hAnsi="Times New Roman"/>
          <w:b w:val="0"/>
          <w:bCs w:val="0"/>
          <w:sz w:val="24"/>
          <w:szCs w:val="24"/>
        </w:rPr>
        <w:lastRenderedPageBreak/>
        <w:t>A</w:t>
      </w:r>
      <w:r w:rsidR="00636E77">
        <w:rPr>
          <w:rFonts w:ascii="Times New Roman" w:eastAsia="Times New Roman" w:hAnsi="Times New Roman"/>
          <w:b w:val="0"/>
          <w:bCs w:val="0"/>
          <w:sz w:val="24"/>
          <w:szCs w:val="24"/>
        </w:rPr>
        <w:t>nexă</w:t>
      </w:r>
    </w:p>
    <w:p w14:paraId="55211C16" w14:textId="37CF31C6" w:rsidR="00DE6A42" w:rsidRPr="00316A33" w:rsidRDefault="00000000" w:rsidP="00636E77">
      <w:pPr>
        <w:pStyle w:val="Heading1"/>
        <w:jc w:val="center"/>
        <w:rPr>
          <w:rFonts w:ascii="Times New Roman" w:eastAsia="Times New Roman" w:hAnsi="Times New Roman" w:cs="Times New Roman"/>
          <w:b w:val="0"/>
          <w:bCs w:val="0"/>
          <w:sz w:val="24"/>
          <w:szCs w:val="24"/>
        </w:rPr>
      </w:pPr>
      <w:r w:rsidRPr="00316A33">
        <w:rPr>
          <w:rFonts w:ascii="Times New Roman" w:eastAsia="Times New Roman" w:hAnsi="Times New Roman" w:cs="Times New Roman"/>
        </w:rPr>
        <w:t>Platforme și aplicații utile pentru elevii cu cerințe educaționale speciale</w:t>
      </w:r>
    </w:p>
    <w:p w14:paraId="3AE2A500" w14:textId="1C692D50" w:rsidR="00636E77" w:rsidRPr="00316A33" w:rsidRDefault="00636E77" w:rsidP="007762E4">
      <w:pPr>
        <w:pStyle w:val="NormalWeb"/>
        <w:jc w:val="both"/>
      </w:pPr>
      <w:r w:rsidRPr="00316A33">
        <w:rPr>
          <w:rStyle w:val="Strong"/>
        </w:rPr>
        <w:t>Starfall</w:t>
      </w:r>
      <w:r w:rsidRPr="00316A33">
        <w:t xml:space="preserve"> – platformă educațională pentru preșcolari și elevi din clasele primare, cu activități de matematică, științe, arte și dezvoltare socio-emoțională; disponibilă gratuit, cu opțiuni suplimentare contra cost.</w:t>
      </w:r>
      <w:r w:rsidRPr="00316A33">
        <w:rPr>
          <w:rStyle w:val="Strong"/>
        </w:rPr>
        <w:t>ABC Kids – Tracing &amp; Phonics</w:t>
      </w:r>
      <w:r w:rsidRPr="00316A33">
        <w:t xml:space="preserve"> – aplicație gratuită pentru învățarea alfabetului, a sunetelor și a scrierii literelor, utilă mai ales preșcolarilor.</w:t>
      </w:r>
    </w:p>
    <w:p w14:paraId="0D76D85C" w14:textId="36F72C35" w:rsidR="007762E4" w:rsidRPr="00316A33" w:rsidRDefault="007762E4" w:rsidP="007762E4">
      <w:pPr>
        <w:pStyle w:val="NormalWeb"/>
        <w:jc w:val="both"/>
      </w:pPr>
      <w:r w:rsidRPr="00316A33">
        <w:rPr>
          <w:b/>
          <w:bCs/>
        </w:rPr>
        <w:t>ABC Kids – Tracing &amp; Phonics</w:t>
      </w:r>
      <w:r w:rsidRPr="00316A33">
        <w:t xml:space="preserve"> – aplicație gratuită pentru învățarea alfabetului, a sunetelor și a scrierii literelor, utilă mai ales preșcolarilor.</w:t>
      </w:r>
    </w:p>
    <w:p w14:paraId="23E0C3F3" w14:textId="77777777" w:rsidR="00636E77" w:rsidRPr="00316A33" w:rsidRDefault="00636E77" w:rsidP="007762E4">
      <w:pPr>
        <w:pStyle w:val="NormalWeb"/>
        <w:jc w:val="both"/>
      </w:pPr>
      <w:r w:rsidRPr="00316A33">
        <w:rPr>
          <w:rStyle w:val="Strong"/>
        </w:rPr>
        <w:t>Cool Math</w:t>
      </w:r>
      <w:r w:rsidRPr="00316A33">
        <w:t xml:space="preserve"> – platformă cu jocuri matematice, logice și de gândire critică, accesibilă copiilor și adolescenților.</w:t>
      </w:r>
    </w:p>
    <w:p w14:paraId="00C9F7AE" w14:textId="77777777" w:rsidR="00636E77" w:rsidRPr="00316A33" w:rsidRDefault="00636E77" w:rsidP="007762E4">
      <w:pPr>
        <w:pStyle w:val="NormalWeb"/>
        <w:jc w:val="both"/>
      </w:pPr>
      <w:r w:rsidRPr="00316A33">
        <w:rPr>
          <w:rStyle w:val="Strong"/>
        </w:rPr>
        <w:t>Google Docs Voice Typing</w:t>
      </w:r>
      <w:r w:rsidRPr="00316A33">
        <w:t xml:space="preserve"> – funcție de dictare care transformă vorbirea în text, utilă elevilor cu dificultăți de scriere sau exprimare scrisă.</w:t>
      </w:r>
    </w:p>
    <w:p w14:paraId="5F2F7CBD" w14:textId="1494ACB6" w:rsidR="00636E77" w:rsidRPr="00316A33" w:rsidRDefault="00636E77" w:rsidP="007762E4">
      <w:pPr>
        <w:pStyle w:val="NormalWeb"/>
        <w:jc w:val="both"/>
      </w:pPr>
      <w:r w:rsidRPr="00316A33">
        <w:rPr>
          <w:rStyle w:val="Strong"/>
        </w:rPr>
        <w:t>NaturalReader</w:t>
      </w:r>
      <w:r w:rsidRPr="00316A33">
        <w:t xml:space="preserve"> </w:t>
      </w:r>
      <w:r w:rsidR="00316A33" w:rsidRPr="00316A33">
        <w:t>(</w:t>
      </w:r>
      <w:hyperlink r:id="rId8" w:history="1">
        <w:r w:rsidR="00316A33" w:rsidRPr="00316A33">
          <w:rPr>
            <w:color w:val="0D4DA1"/>
            <w:u w:val="single"/>
            <w:lang w:val="ro-RO"/>
          </w:rPr>
          <w:t>www.naturalreaders.com</w:t>
        </w:r>
      </w:hyperlink>
      <w:r w:rsidR="00316A33" w:rsidRPr="00316A33">
        <w:t xml:space="preserve">) </w:t>
      </w:r>
      <w:r w:rsidRPr="00316A33">
        <w:t>– instrument de citire cu voce tare a textului, util pentru elevii cu dificultăți de citire sau de înțelegere a textului scris.</w:t>
      </w:r>
    </w:p>
    <w:p w14:paraId="3BD15726" w14:textId="3AC6C062" w:rsidR="00636E77" w:rsidRPr="00316A33" w:rsidRDefault="00636E77" w:rsidP="007762E4">
      <w:pPr>
        <w:pStyle w:val="NormalWeb"/>
        <w:jc w:val="both"/>
      </w:pPr>
      <w:r w:rsidRPr="00316A33">
        <w:rPr>
          <w:rStyle w:val="Strong"/>
        </w:rPr>
        <w:t>Read&amp;Write by Texthelp</w:t>
      </w:r>
      <w:r w:rsidR="00316A33">
        <w:rPr>
          <w:rStyle w:val="Strong"/>
        </w:rPr>
        <w:t xml:space="preserve"> </w:t>
      </w:r>
      <w:r w:rsidR="00316A33" w:rsidRPr="00316A33">
        <w:rPr>
          <w:rStyle w:val="Strong"/>
          <w:b w:val="0"/>
          <w:bCs w:val="0"/>
        </w:rPr>
        <w:t>(</w:t>
      </w:r>
      <w:hyperlink r:id="rId9" w:history="1">
        <w:r w:rsidR="00316A33" w:rsidRPr="00316A33">
          <w:rPr>
            <w:rFonts w:ascii="Roboto" w:hAnsi="Roboto"/>
            <w:color w:val="0D4DA1"/>
            <w:sz w:val="20"/>
            <w:szCs w:val="20"/>
            <w:u w:val="single"/>
            <w:lang w:val="ro-RO"/>
          </w:rPr>
          <w:t>https://www.texthelp.com/products/read-write/</w:t>
        </w:r>
      </w:hyperlink>
      <w:r w:rsidR="00316A33">
        <w:t>)</w:t>
      </w:r>
      <w:r w:rsidRPr="00316A33">
        <w:t xml:space="preserve"> – instrument de sprijin pentru elevii cu dislexie, ADHD sau dificultăți de citire, cu funcții de citire, scriere și organizare a informației; include perioadă gratuită de utilizare.</w:t>
      </w:r>
    </w:p>
    <w:p w14:paraId="69090EBD" w14:textId="04385F74" w:rsidR="00636E77" w:rsidRPr="00316A33" w:rsidRDefault="00636E77" w:rsidP="007762E4">
      <w:pPr>
        <w:pStyle w:val="NormalWeb"/>
        <w:jc w:val="both"/>
      </w:pPr>
      <w:r w:rsidRPr="00316A33">
        <w:rPr>
          <w:rStyle w:val="Strong"/>
        </w:rPr>
        <w:t>Notion</w:t>
      </w:r>
      <w:r w:rsidRPr="00316A33">
        <w:t xml:space="preserve"> </w:t>
      </w:r>
      <w:r w:rsidR="00316A33">
        <w:t>(</w:t>
      </w:r>
      <w:hyperlink r:id="rId10" w:history="1">
        <w:r w:rsidR="00316A33" w:rsidRPr="00113E46">
          <w:rPr>
            <w:rStyle w:val="Hyperlink"/>
            <w:rFonts w:ascii="Roboto" w:hAnsi="Roboto"/>
            <w:sz w:val="20"/>
            <w:szCs w:val="20"/>
            <w:lang w:val="ro-RO"/>
          </w:rPr>
          <w:t>www.notion.so</w:t>
        </w:r>
      </w:hyperlink>
      <w:r w:rsidR="00316A33">
        <w:rPr>
          <w:rFonts w:ascii="Roboto" w:hAnsi="Roboto"/>
          <w:color w:val="0D4DA1"/>
          <w:sz w:val="20"/>
          <w:szCs w:val="20"/>
          <w:u w:val="single"/>
          <w:lang w:val="ro-RO"/>
        </w:rPr>
        <w:t>)</w:t>
      </w:r>
      <w:r w:rsidRPr="00316A33">
        <w:t>– aplicație pentru organizarea sarcinilor, notițelor și monitorizarea progresului.</w:t>
      </w:r>
    </w:p>
    <w:p w14:paraId="1B8762DF" w14:textId="1899386A" w:rsidR="00636E77" w:rsidRPr="00316A33" w:rsidRDefault="00636E77" w:rsidP="007762E4">
      <w:pPr>
        <w:pStyle w:val="NormalWeb"/>
        <w:jc w:val="both"/>
        <w:rPr>
          <w:sz w:val="20"/>
          <w:szCs w:val="20"/>
        </w:rPr>
      </w:pPr>
      <w:r w:rsidRPr="00316A33">
        <w:rPr>
          <w:rStyle w:val="Strong"/>
        </w:rPr>
        <w:t>Trello</w:t>
      </w:r>
      <w:r w:rsidR="00316A33">
        <w:rPr>
          <w:rStyle w:val="Strong"/>
        </w:rPr>
        <w:t xml:space="preserve"> </w:t>
      </w:r>
      <w:r w:rsidR="00316A33" w:rsidRPr="006C0AB0">
        <w:rPr>
          <w:rFonts w:ascii="Roboto" w:hAnsi="Roboto"/>
          <w:color w:val="656565"/>
          <w:lang w:val="ro-RO"/>
        </w:rPr>
        <w:t>(</w:t>
      </w:r>
      <w:hyperlink r:id="rId11" w:history="1">
        <w:r w:rsidR="00316A33" w:rsidRPr="00316A33">
          <w:rPr>
            <w:rFonts w:ascii="Roboto" w:hAnsi="Roboto"/>
            <w:color w:val="0D4DA1"/>
            <w:sz w:val="20"/>
            <w:szCs w:val="20"/>
            <w:u w:val="single"/>
            <w:lang w:val="ro-RO"/>
          </w:rPr>
          <w:t>www.trello.com</w:t>
        </w:r>
      </w:hyperlink>
      <w:r w:rsidR="00316A33" w:rsidRPr="006C0AB0">
        <w:rPr>
          <w:rFonts w:ascii="Roboto" w:hAnsi="Roboto"/>
          <w:color w:val="656565"/>
          <w:lang w:val="ro-RO"/>
        </w:rPr>
        <w:t xml:space="preserve">) </w:t>
      </w:r>
      <w:r w:rsidRPr="00316A33">
        <w:t xml:space="preserve"> – organizator vizual bazat pe panouri, liste și carduri, util pentru structurarea activităților individuale sau de grup.</w:t>
      </w:r>
    </w:p>
    <w:p w14:paraId="33E8C24E" w14:textId="6E04E70A" w:rsidR="00636E77" w:rsidRPr="00316A33" w:rsidRDefault="00636E77" w:rsidP="007762E4">
      <w:pPr>
        <w:pStyle w:val="NormalWeb"/>
        <w:jc w:val="both"/>
      </w:pPr>
      <w:r w:rsidRPr="00316A33">
        <w:rPr>
          <w:rStyle w:val="Strong"/>
        </w:rPr>
        <w:t>Google Keep</w:t>
      </w:r>
      <w:r w:rsidRPr="00316A33">
        <w:t xml:space="preserve"> </w:t>
      </w:r>
      <w:r w:rsidR="00316A33">
        <w:t>(</w:t>
      </w:r>
      <w:hyperlink r:id="rId12" w:history="1">
        <w:r w:rsidR="00316A33" w:rsidRPr="00113E46">
          <w:rPr>
            <w:rStyle w:val="Hyperlink"/>
            <w:rFonts w:ascii="Roboto" w:hAnsi="Roboto"/>
            <w:sz w:val="20"/>
            <w:szCs w:val="20"/>
            <w:lang w:val="ro-RO"/>
          </w:rPr>
          <w:t>https://assistant.google.com</w:t>
        </w:r>
      </w:hyperlink>
      <w:r w:rsidR="00316A33">
        <w:rPr>
          <w:rFonts w:ascii="Roboto" w:hAnsi="Roboto"/>
          <w:color w:val="0D4DA1"/>
          <w:sz w:val="20"/>
          <w:szCs w:val="20"/>
          <w:u w:val="single"/>
          <w:lang w:val="ro-RO"/>
        </w:rPr>
        <w:t xml:space="preserve">) </w:t>
      </w:r>
      <w:r w:rsidRPr="00316A33">
        <w:t>– aplicație gratuită pentru notițe, liste, memento-uri, imagini și note vocale, utilă în organizarea sarcinilor zilnice.</w:t>
      </w:r>
    </w:p>
    <w:p w14:paraId="0372F425" w14:textId="77777777" w:rsidR="00636E77" w:rsidRPr="00316A33" w:rsidRDefault="00636E77" w:rsidP="007762E4">
      <w:pPr>
        <w:pStyle w:val="NormalWeb"/>
        <w:jc w:val="both"/>
      </w:pPr>
      <w:r w:rsidRPr="00316A33">
        <w:rPr>
          <w:rStyle w:val="Strong"/>
        </w:rPr>
        <w:t>Logopedix</w:t>
      </w:r>
      <w:r w:rsidRPr="00316A33">
        <w:t xml:space="preserve"> – program specializat pentru corectarea tulburărilor de limbaj și sprijinirea citirii, dislaliei și dislexiei.</w:t>
      </w:r>
    </w:p>
    <w:p w14:paraId="6C0CDFB1" w14:textId="23E3A00C" w:rsidR="00636E77" w:rsidRPr="00316A33" w:rsidRDefault="00636E77" w:rsidP="007762E4">
      <w:pPr>
        <w:pStyle w:val="NormalWeb"/>
        <w:jc w:val="both"/>
      </w:pPr>
      <w:r w:rsidRPr="00316A33">
        <w:rPr>
          <w:rStyle w:val="Strong"/>
        </w:rPr>
        <w:t>T</w:t>
      </w:r>
      <w:r w:rsidR="007762E4" w:rsidRPr="00316A33">
        <w:rPr>
          <w:rStyle w:val="Strong"/>
        </w:rPr>
        <w:t>ara</w:t>
      </w:r>
      <w:r w:rsidRPr="00316A33">
        <w:t xml:space="preserve"> – aplicație web asistată, utilizată în învățarea și evaluarea copiilor cu autism, întârzieri de limbaj sau dizabilități intelectuale.</w:t>
      </w:r>
    </w:p>
    <w:p w14:paraId="44EE889B" w14:textId="77777777" w:rsidR="00636E77" w:rsidRPr="00316A33" w:rsidRDefault="00636E77" w:rsidP="007762E4">
      <w:pPr>
        <w:pStyle w:val="NormalWeb"/>
        <w:jc w:val="both"/>
      </w:pPr>
      <w:r w:rsidRPr="00316A33">
        <w:rPr>
          <w:rStyle w:val="Strong"/>
        </w:rPr>
        <w:t>Evalogos</w:t>
      </w:r>
      <w:r w:rsidRPr="00316A33">
        <w:t xml:space="preserve"> – program adaptat pentru evaluarea nivelului de comunicare la elevii cu dizabilități intelectuale sau auditive.</w:t>
      </w:r>
    </w:p>
    <w:p w14:paraId="0DFB6D2A" w14:textId="4E33AE8A" w:rsidR="00636E77" w:rsidRPr="00316A33" w:rsidRDefault="00636E77" w:rsidP="007762E4">
      <w:pPr>
        <w:pStyle w:val="NormalWeb"/>
        <w:jc w:val="both"/>
      </w:pPr>
      <w:r w:rsidRPr="00316A33">
        <w:rPr>
          <w:rStyle w:val="Strong"/>
        </w:rPr>
        <w:t>EduacCES</w:t>
      </w:r>
      <w:r w:rsidR="00316A33">
        <w:rPr>
          <w:rStyle w:val="Strong"/>
        </w:rPr>
        <w:t xml:space="preserve"> (</w:t>
      </w:r>
      <w:hyperlink r:id="rId13" w:history="1">
        <w:r w:rsidR="00316A33" w:rsidRPr="00113E46">
          <w:rPr>
            <w:rStyle w:val="Hyperlink"/>
            <w:rFonts w:ascii="Roboto" w:hAnsi="Roboto"/>
            <w:sz w:val="20"/>
            <w:szCs w:val="20"/>
            <w:lang w:val="ro-RO"/>
          </w:rPr>
          <w:t>https://eduacces.ro/ro/resources</w:t>
        </w:r>
      </w:hyperlink>
      <w:r w:rsidR="00504279">
        <w:rPr>
          <w:rFonts w:ascii="Roboto" w:hAnsi="Roboto"/>
          <w:color w:val="0D4DA1"/>
          <w:sz w:val="20"/>
          <w:szCs w:val="20"/>
          <w:u w:val="single"/>
          <w:lang w:val="ro-RO"/>
        </w:rPr>
        <w:t>)</w:t>
      </w:r>
      <w:r w:rsidRPr="00316A33">
        <w:t xml:space="preserve"> – platformă românească deschisă, cu materiale educaționale pentru elevi cu TSI, ADHD, autism, tulburări de comportament, senzoriale, emoționale sau de limbaj.</w:t>
      </w:r>
    </w:p>
    <w:p w14:paraId="0197A959" w14:textId="77777777" w:rsidR="00636E77" w:rsidRPr="00316A33" w:rsidRDefault="00636E77" w:rsidP="007762E4">
      <w:pPr>
        <w:pStyle w:val="NormalWeb"/>
        <w:jc w:val="both"/>
      </w:pPr>
      <w:r w:rsidRPr="00316A33">
        <w:rPr>
          <w:rStyle w:val="Strong"/>
        </w:rPr>
        <w:t>iCan</w:t>
      </w:r>
      <w:r w:rsidRPr="00316A33">
        <w:t xml:space="preserve"> – aplicație educativă pentru copii cu dificultăți de învățare, cu jocuri și materiale video pentru dezvoltarea abilităților cognitive, academice, sociale și de autoîngrijire.</w:t>
      </w:r>
    </w:p>
    <w:p w14:paraId="32485A94" w14:textId="77777777" w:rsidR="00636E77" w:rsidRPr="00316A33" w:rsidRDefault="00636E77" w:rsidP="007762E4">
      <w:pPr>
        <w:pStyle w:val="NormalWeb"/>
        <w:jc w:val="both"/>
      </w:pPr>
      <w:r w:rsidRPr="00316A33">
        <w:rPr>
          <w:rStyle w:val="Strong"/>
        </w:rPr>
        <w:lastRenderedPageBreak/>
        <w:t>Proloquo2Go</w:t>
      </w:r>
      <w:r w:rsidRPr="00316A33">
        <w:t xml:space="preserve"> – aplicație de comunicare augmentativă și alternativă, utilă persoanelor cu tulburări de vorbire, autism, sindrom Down sau paralizie cerebrală.</w:t>
      </w:r>
    </w:p>
    <w:p w14:paraId="1CC7AFCB" w14:textId="77777777" w:rsidR="00636E77" w:rsidRPr="00316A33" w:rsidRDefault="00636E77" w:rsidP="007762E4">
      <w:pPr>
        <w:pStyle w:val="NormalWeb"/>
        <w:jc w:val="both"/>
      </w:pPr>
      <w:r w:rsidRPr="00316A33">
        <w:rPr>
          <w:rStyle w:val="Strong"/>
        </w:rPr>
        <w:t>AccessiBe</w:t>
      </w:r>
      <w:r w:rsidRPr="00316A33">
        <w:t xml:space="preserve"> – instrument de accesibilizare a site-urilor, prin adaptarea contrastului, dimensiunii textului, culorilor, spațierii și navigării asistate.</w:t>
      </w:r>
    </w:p>
    <w:p w14:paraId="33AFBD6D" w14:textId="4885901B" w:rsidR="00636E77" w:rsidRPr="00316A33" w:rsidRDefault="002B2617" w:rsidP="007762E4">
      <w:pPr>
        <w:pStyle w:val="NormalWeb"/>
        <w:jc w:val="both"/>
      </w:pPr>
      <w:r w:rsidRPr="002B2617">
        <w:rPr>
          <w:b/>
          <w:bCs/>
          <w:color w:val="000000" w:themeColor="text1"/>
          <w:lang w:val="ro-RO"/>
        </w:rPr>
        <w:t>The Automated Working Memory Assessment</w:t>
      </w:r>
      <w:r w:rsidRPr="002B2617">
        <w:rPr>
          <w:rFonts w:ascii="Roboto" w:hAnsi="Roboto"/>
          <w:color w:val="000000" w:themeColor="text1"/>
          <w:lang w:val="ro-RO"/>
        </w:rPr>
        <w:t> </w:t>
      </w:r>
      <w:r>
        <w:rPr>
          <w:rStyle w:val="Strong"/>
          <w:color w:val="000000" w:themeColor="text1"/>
        </w:rPr>
        <w:t>(</w:t>
      </w:r>
      <w:r w:rsidR="00636E77" w:rsidRPr="00316A33">
        <w:rPr>
          <w:rStyle w:val="Strong"/>
        </w:rPr>
        <w:t>AWMA</w:t>
      </w:r>
      <w:r>
        <w:rPr>
          <w:rStyle w:val="Strong"/>
        </w:rPr>
        <w:t>)</w:t>
      </w:r>
      <w:r w:rsidR="00636E77" w:rsidRPr="00316A33">
        <w:t xml:space="preserve"> – instrument digital de evaluare a memoriei de lucru la copii și adolescenți.</w:t>
      </w:r>
    </w:p>
    <w:p w14:paraId="7802C30B" w14:textId="1CEDD68B" w:rsidR="00636E77" w:rsidRPr="00316A33" w:rsidRDefault="00636E77" w:rsidP="007762E4">
      <w:pPr>
        <w:pStyle w:val="NormalWeb"/>
        <w:jc w:val="both"/>
      </w:pPr>
      <w:r w:rsidRPr="00316A33">
        <w:rPr>
          <w:rStyle w:val="Strong"/>
        </w:rPr>
        <w:t>Cogmed Working Memory Training</w:t>
      </w:r>
      <w:r w:rsidRPr="00316A33">
        <w:t xml:space="preserve"> </w:t>
      </w:r>
      <w:r w:rsidR="007762E4" w:rsidRPr="00316A33">
        <w:rPr>
          <w:b/>
          <w:bCs/>
        </w:rPr>
        <w:t>(CWMT)</w:t>
      </w:r>
      <w:r w:rsidR="007762E4" w:rsidRPr="00316A33">
        <w:t xml:space="preserve"> </w:t>
      </w:r>
      <w:r w:rsidRPr="00316A33">
        <w:t>– software de antrenament cognitiv pentru îmbunătățirea memoriei de lucru.</w:t>
      </w:r>
      <w:r w:rsidR="009E0866" w:rsidRPr="00316A33">
        <w:t>77</w:t>
      </w:r>
    </w:p>
    <w:p w14:paraId="1D016749" w14:textId="77777777" w:rsidR="00636E77" w:rsidRPr="00316A33" w:rsidRDefault="00636E77" w:rsidP="007762E4">
      <w:pPr>
        <w:pStyle w:val="NormalWeb"/>
        <w:jc w:val="both"/>
      </w:pPr>
      <w:r w:rsidRPr="00316A33">
        <w:rPr>
          <w:rStyle w:val="Strong"/>
        </w:rPr>
        <w:t>DreamBox Learning</w:t>
      </w:r>
      <w:r w:rsidRPr="00316A33">
        <w:t xml:space="preserve"> – platformă de învățare adaptivă pentru matematică, cu exerciții personalizate și feedback în timp real.</w:t>
      </w:r>
    </w:p>
    <w:p w14:paraId="59E41523" w14:textId="34F389C3" w:rsidR="00636E77" w:rsidRPr="00316A33" w:rsidRDefault="00636E77" w:rsidP="007762E4">
      <w:pPr>
        <w:pStyle w:val="NormalWeb"/>
        <w:jc w:val="both"/>
      </w:pPr>
      <w:r w:rsidRPr="00316A33">
        <w:rPr>
          <w:rStyle w:val="Strong"/>
        </w:rPr>
        <w:t>edX</w:t>
      </w:r>
      <w:r w:rsidR="002B2617">
        <w:rPr>
          <w:rStyle w:val="Strong"/>
        </w:rPr>
        <w:t>.org</w:t>
      </w:r>
      <w:r w:rsidRPr="00316A33">
        <w:t xml:space="preserve"> – platformă de învățare online cu resurse gratuite și contra cost, utilă mai ales pentru formarea profesorilor și dezvoltare profesională.</w:t>
      </w:r>
    </w:p>
    <w:p w14:paraId="1E0BD3B5" w14:textId="7DF8CDA3" w:rsidR="00636E77" w:rsidRPr="00316A33" w:rsidRDefault="00636E77" w:rsidP="007762E4">
      <w:pPr>
        <w:pStyle w:val="NormalWeb"/>
        <w:jc w:val="both"/>
      </w:pPr>
      <w:r w:rsidRPr="00316A33">
        <w:rPr>
          <w:rStyle w:val="Strong"/>
        </w:rPr>
        <w:t>LearnSmart</w:t>
      </w:r>
      <w:r w:rsidR="002B2617">
        <w:rPr>
          <w:rStyle w:val="Strong"/>
        </w:rPr>
        <w:t>e</w:t>
      </w:r>
      <w:r w:rsidRPr="00316A33">
        <w:t xml:space="preserve"> – platformă de învățare personalizată, axată pe matematică și științe.</w:t>
      </w:r>
    </w:p>
    <w:p w14:paraId="46C5811F" w14:textId="77777777" w:rsidR="00636E77" w:rsidRPr="00316A33" w:rsidRDefault="00636E77" w:rsidP="007762E4">
      <w:pPr>
        <w:pStyle w:val="NormalWeb"/>
        <w:jc w:val="both"/>
      </w:pPr>
      <w:r w:rsidRPr="00316A33">
        <w:rPr>
          <w:rStyle w:val="Strong"/>
        </w:rPr>
        <w:t>Redbird Advanced Learning</w:t>
      </w:r>
      <w:r w:rsidRPr="00316A33">
        <w:t xml:space="preserve"> – platformă pentru învățare diferențiată, cu accent pe matematică, științe și limba engleză.</w:t>
      </w:r>
    </w:p>
    <w:p w14:paraId="21F76F36" w14:textId="77777777" w:rsidR="00636E77" w:rsidRPr="00316A33" w:rsidRDefault="00636E77" w:rsidP="007762E4">
      <w:pPr>
        <w:pStyle w:val="NormalWeb"/>
        <w:jc w:val="both"/>
      </w:pPr>
      <w:r w:rsidRPr="00316A33">
        <w:rPr>
          <w:rStyle w:val="Strong"/>
        </w:rPr>
        <w:t>Fishtree</w:t>
      </w:r>
      <w:r w:rsidRPr="00316A33">
        <w:t xml:space="preserve"> – platformă de învățare adaptivă și evaluare personalizată.</w:t>
      </w:r>
    </w:p>
    <w:p w14:paraId="2C722224" w14:textId="77777777" w:rsidR="00636E77" w:rsidRPr="00316A33" w:rsidRDefault="00636E77" w:rsidP="007762E4">
      <w:pPr>
        <w:pStyle w:val="NormalWeb"/>
        <w:jc w:val="both"/>
      </w:pPr>
      <w:r w:rsidRPr="00316A33">
        <w:rPr>
          <w:rStyle w:val="Strong"/>
        </w:rPr>
        <w:t>Socrative</w:t>
      </w:r>
      <w:r w:rsidRPr="00316A33">
        <w:t xml:space="preserve"> – aplicație pentru evaluare și feedback în timp real, utilă profesorilor în monitorizarea progresului elevilor.</w:t>
      </w:r>
    </w:p>
    <w:p w14:paraId="3BF550E2" w14:textId="15A6B739" w:rsidR="00DE6A42" w:rsidRDefault="00DE6A42" w:rsidP="00636E77">
      <w:pPr>
        <w:spacing w:after="20" w:line="276" w:lineRule="auto"/>
        <w:ind w:left="283" w:hanging="142"/>
      </w:pPr>
    </w:p>
    <w:sectPr w:rsidR="00DE6A42" w:rsidSect="00034616">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DAAA" w14:textId="77777777" w:rsidR="009E35C5" w:rsidRDefault="009E35C5">
      <w:pPr>
        <w:spacing w:after="0" w:line="240" w:lineRule="auto"/>
      </w:pPr>
      <w:r>
        <w:separator/>
      </w:r>
    </w:p>
  </w:endnote>
  <w:endnote w:type="continuationSeparator" w:id="0">
    <w:p w14:paraId="3B40D53A" w14:textId="77777777" w:rsidR="009E35C5" w:rsidRDefault="009E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D06A" w14:textId="77777777" w:rsidR="009E35C5" w:rsidRDefault="009E35C5">
      <w:pPr>
        <w:spacing w:after="0" w:line="240" w:lineRule="auto"/>
      </w:pPr>
      <w:r>
        <w:separator/>
      </w:r>
    </w:p>
  </w:footnote>
  <w:footnote w:type="continuationSeparator" w:id="0">
    <w:p w14:paraId="6B272FA8" w14:textId="77777777" w:rsidR="009E35C5" w:rsidRDefault="009E35C5">
      <w:pPr>
        <w:spacing w:after="0" w:line="240" w:lineRule="auto"/>
      </w:pPr>
      <w:r>
        <w:continuationSeparator/>
      </w:r>
    </w:p>
  </w:footnote>
  <w:footnote w:id="1">
    <w:p w14:paraId="0B6560B7" w14:textId="3B15AA02" w:rsidR="002A77FA" w:rsidRPr="002A77FA" w:rsidRDefault="002A77FA" w:rsidP="002B2617">
      <w:pPr>
        <w:spacing w:line="240" w:lineRule="auto"/>
        <w:rPr>
          <w:sz w:val="20"/>
          <w:szCs w:val="20"/>
        </w:rPr>
      </w:pPr>
      <w:r w:rsidRPr="002A77FA">
        <w:rPr>
          <w:rStyle w:val="FootnoteReference"/>
          <w:sz w:val="20"/>
          <w:szCs w:val="20"/>
        </w:rPr>
        <w:footnoteRef/>
      </w:r>
      <w:r w:rsidRPr="002A77FA">
        <w:rPr>
          <w:sz w:val="20"/>
          <w:szCs w:val="20"/>
        </w:rPr>
        <w:t xml:space="preserve"> UNESCO, The Salamanca Statement and Framework for Action on Special Needs Education, Salamanca, 1994.</w:t>
      </w:r>
    </w:p>
  </w:footnote>
  <w:footnote w:id="2">
    <w:p w14:paraId="38CEC519" w14:textId="5CED05AA" w:rsidR="002A77FA" w:rsidRPr="002A77FA" w:rsidRDefault="002A77FA" w:rsidP="002B2617">
      <w:pPr>
        <w:pStyle w:val="FootnoteText"/>
        <w:rPr>
          <w:lang w:val="ro-RO"/>
        </w:rPr>
      </w:pPr>
      <w:r>
        <w:rPr>
          <w:rStyle w:val="FootnoteReference"/>
        </w:rPr>
        <w:footnoteRef/>
      </w:r>
      <w:r>
        <w:t>B.C. Reisdorf, C. Rhinesmith, „Digital Inclusion as a Core Component of Social Inclusion”, în Social Inclusion, vol. 8, nr. 2, 2020.</w:t>
      </w:r>
    </w:p>
  </w:footnote>
  <w:footnote w:id="3">
    <w:p w14:paraId="1CA79BA0" w14:textId="3D87E3EE" w:rsidR="002A77FA" w:rsidRPr="002A77FA" w:rsidRDefault="002A77FA" w:rsidP="002B2617">
      <w:pPr>
        <w:pStyle w:val="FootnoteText"/>
        <w:rPr>
          <w:lang w:val="ro-RO"/>
        </w:rPr>
      </w:pPr>
      <w:r>
        <w:rPr>
          <w:rStyle w:val="FootnoteReference"/>
        </w:rPr>
        <w:footnoteRef/>
      </w:r>
      <w:r>
        <w:t xml:space="preserve"> D. Calderón Gómez, „The Third Digital Divide and Bourdieu: Bidirectional Conversion of Economic, Cultural and Social Capital to (and from) Digital Capital”, în New Media &amp; Society, 2020.</w:t>
      </w:r>
    </w:p>
  </w:footnote>
  <w:footnote w:id="4">
    <w:p w14:paraId="1208CEC5" w14:textId="589C3F28" w:rsidR="00654045" w:rsidRPr="00654045" w:rsidRDefault="00654045">
      <w:pPr>
        <w:pStyle w:val="FootnoteText"/>
        <w:rPr>
          <w:lang w:val="ro-RO"/>
        </w:rPr>
      </w:pPr>
      <w:r>
        <w:rPr>
          <w:rStyle w:val="FootnoteReference"/>
        </w:rPr>
        <w:footnoteRef/>
      </w:r>
      <w:r>
        <w:t xml:space="preserve"> M. El Asam, A. Katz, „Vulnerable Young People and Their Experience of Online Risks”, în Human–Computer Interaction, 2018.</w:t>
      </w:r>
    </w:p>
  </w:footnote>
  <w:footnote w:id="5">
    <w:p w14:paraId="25450DE0" w14:textId="4C1AD699" w:rsidR="00654045" w:rsidRPr="00654045" w:rsidRDefault="00654045">
      <w:pPr>
        <w:pStyle w:val="FootnoteText"/>
        <w:rPr>
          <w:lang w:val="ro-RO"/>
        </w:rPr>
      </w:pPr>
      <w:r>
        <w:rPr>
          <w:rStyle w:val="FootnoteReference"/>
        </w:rPr>
        <w:footnoteRef/>
      </w:r>
      <w:r>
        <w:t xml:space="preserve"> J.S. Schumm, S. Vaughn, A.G. Leavell, „Planning Pyramid: A Framework for Planning for Diverse Student Needs During Content Area Instruction”, 1997.</w:t>
      </w:r>
    </w:p>
  </w:footnote>
  <w:footnote w:id="6">
    <w:p w14:paraId="25FF2A34" w14:textId="2AA26E80" w:rsidR="00654045" w:rsidRPr="00654045" w:rsidRDefault="00654045">
      <w:pPr>
        <w:pStyle w:val="FootnoteText"/>
        <w:rPr>
          <w:lang w:val="ro-RO"/>
        </w:rPr>
      </w:pPr>
      <w:r>
        <w:rPr>
          <w:rStyle w:val="FootnoteReference"/>
        </w:rPr>
        <w:footnoteRef/>
      </w:r>
      <w:r>
        <w:t xml:space="preserve"> F. Facler, L. Ciascai, articol privind dimensiunile personalizării învățării, 2022.</w:t>
      </w:r>
    </w:p>
  </w:footnote>
  <w:footnote w:id="7">
    <w:p w14:paraId="7D7122E7" w14:textId="12F2FBD7" w:rsidR="00654045" w:rsidRPr="00654045" w:rsidRDefault="00654045">
      <w:pPr>
        <w:pStyle w:val="FootnoteText"/>
        <w:rPr>
          <w:lang w:val="ro-RO"/>
        </w:rPr>
      </w:pPr>
      <w:r>
        <w:rPr>
          <w:rStyle w:val="FootnoteReference"/>
        </w:rPr>
        <w:footnoteRef/>
      </w:r>
      <w:r>
        <w:t xml:space="preserve"> J. van Dijk, The Network Society: Social Aspects of New Media, Sage, Londra, 1999.</w:t>
      </w:r>
    </w:p>
  </w:footnote>
  <w:footnote w:id="8">
    <w:p w14:paraId="268FB86C" w14:textId="06881DB0" w:rsidR="001B5999" w:rsidRPr="001B5999" w:rsidRDefault="001B5999">
      <w:pPr>
        <w:pStyle w:val="FootnoteText"/>
        <w:rPr>
          <w:lang w:val="ro-RO"/>
        </w:rPr>
      </w:pPr>
      <w:r>
        <w:rPr>
          <w:rStyle w:val="FootnoteReference"/>
        </w:rPr>
        <w:footnoteRef/>
      </w:r>
      <w:r>
        <w:t xml:space="preserve"> C. Dignath, S. Rimm-Kaufman, R. van Ewijk, M. Kunter, „Teachers' Beliefs about Inclusive Education and Insights on What Contributes to Those Beliefs”, în Educational Psychology Review, 2022.</w:t>
      </w:r>
    </w:p>
  </w:footnote>
  <w:footnote w:id="9">
    <w:p w14:paraId="3D2A2BD6" w14:textId="77777777" w:rsidR="00636E77" w:rsidRPr="00A912A5" w:rsidRDefault="00636E77" w:rsidP="00636E77">
      <w:pPr>
        <w:rPr>
          <w:sz w:val="20"/>
          <w:szCs w:val="20"/>
        </w:rPr>
      </w:pPr>
      <w:r w:rsidRPr="00A912A5">
        <w:rPr>
          <w:rStyle w:val="FootnoteReference"/>
          <w:sz w:val="20"/>
          <w:szCs w:val="20"/>
        </w:rPr>
        <w:footnoteRef/>
      </w:r>
      <w:r w:rsidRPr="00A912A5">
        <w:rPr>
          <w:sz w:val="20"/>
          <w:szCs w:val="20"/>
        </w:rPr>
        <w:t>A. Clarida, lucrare privind rolul de facilitator al cadrului didactic în mediul digital,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F144BFD"/>
    <w:multiLevelType w:val="hybridMultilevel"/>
    <w:tmpl w:val="D152B184"/>
    <w:lvl w:ilvl="0" w:tplc="C5422582">
      <w:start w:val="1"/>
      <w:numFmt w:val="decimal"/>
      <w:lvlText w:val="%1."/>
      <w:lvlJc w:val="left"/>
      <w:pPr>
        <w:ind w:left="567" w:hanging="283"/>
      </w:pPr>
    </w:lvl>
    <w:lvl w:ilvl="1" w:tplc="62C46634">
      <w:numFmt w:val="decimal"/>
      <w:lvlText w:val=""/>
      <w:lvlJc w:val="left"/>
    </w:lvl>
    <w:lvl w:ilvl="2" w:tplc="64CC41B0">
      <w:numFmt w:val="decimal"/>
      <w:lvlText w:val=""/>
      <w:lvlJc w:val="left"/>
    </w:lvl>
    <w:lvl w:ilvl="3" w:tplc="65EA445A">
      <w:numFmt w:val="decimal"/>
      <w:lvlText w:val=""/>
      <w:lvlJc w:val="left"/>
    </w:lvl>
    <w:lvl w:ilvl="4" w:tplc="8A9021BA">
      <w:numFmt w:val="decimal"/>
      <w:lvlText w:val=""/>
      <w:lvlJc w:val="left"/>
    </w:lvl>
    <w:lvl w:ilvl="5" w:tplc="5094A5F8">
      <w:numFmt w:val="decimal"/>
      <w:lvlText w:val=""/>
      <w:lvlJc w:val="left"/>
    </w:lvl>
    <w:lvl w:ilvl="6" w:tplc="C0565A32">
      <w:numFmt w:val="decimal"/>
      <w:lvlText w:val=""/>
      <w:lvlJc w:val="left"/>
    </w:lvl>
    <w:lvl w:ilvl="7" w:tplc="C2B29B80">
      <w:numFmt w:val="decimal"/>
      <w:lvlText w:val=""/>
      <w:lvlJc w:val="left"/>
    </w:lvl>
    <w:lvl w:ilvl="8" w:tplc="0FBC0904">
      <w:numFmt w:val="decimal"/>
      <w:lvlText w:val=""/>
      <w:lvlJc w:val="left"/>
    </w:lvl>
  </w:abstractNum>
  <w:num w:numId="1" w16cid:durableId="918633941">
    <w:abstractNumId w:val="8"/>
  </w:num>
  <w:num w:numId="2" w16cid:durableId="2144543598">
    <w:abstractNumId w:val="6"/>
  </w:num>
  <w:num w:numId="3" w16cid:durableId="867136064">
    <w:abstractNumId w:val="5"/>
  </w:num>
  <w:num w:numId="4" w16cid:durableId="1308512745">
    <w:abstractNumId w:val="4"/>
  </w:num>
  <w:num w:numId="5" w16cid:durableId="540679092">
    <w:abstractNumId w:val="7"/>
  </w:num>
  <w:num w:numId="6" w16cid:durableId="177627153">
    <w:abstractNumId w:val="3"/>
  </w:num>
  <w:num w:numId="7" w16cid:durableId="904951619">
    <w:abstractNumId w:val="2"/>
  </w:num>
  <w:num w:numId="8" w16cid:durableId="1681660634">
    <w:abstractNumId w:val="1"/>
  </w:num>
  <w:num w:numId="9" w16cid:durableId="898518604">
    <w:abstractNumId w:val="0"/>
  </w:num>
  <w:num w:numId="10" w16cid:durableId="145328133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5999"/>
    <w:rsid w:val="0025738E"/>
    <w:rsid w:val="0029639D"/>
    <w:rsid w:val="002A77FA"/>
    <w:rsid w:val="002B2617"/>
    <w:rsid w:val="003004A9"/>
    <w:rsid w:val="00316A33"/>
    <w:rsid w:val="00326F90"/>
    <w:rsid w:val="004A17D1"/>
    <w:rsid w:val="00504279"/>
    <w:rsid w:val="00636E77"/>
    <w:rsid w:val="00654045"/>
    <w:rsid w:val="007762E4"/>
    <w:rsid w:val="008421A0"/>
    <w:rsid w:val="008A6493"/>
    <w:rsid w:val="008B39CB"/>
    <w:rsid w:val="008E65A7"/>
    <w:rsid w:val="009E0866"/>
    <w:rsid w:val="009E35C5"/>
    <w:rsid w:val="009F1C18"/>
    <w:rsid w:val="00A912A5"/>
    <w:rsid w:val="00AA1D8D"/>
    <w:rsid w:val="00B47730"/>
    <w:rsid w:val="00CB0664"/>
    <w:rsid w:val="00D06971"/>
    <w:rsid w:val="00DE6A42"/>
    <w:rsid w:val="00E9296E"/>
    <w:rsid w:val="00F718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19E6BB"/>
  <w14:defaultImageDpi w14:val="300"/>
  <w15:docId w15:val="{52DB030A-C896-4922-873E-0A252C5C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ind w:firstLine="709"/>
      <w:jc w:val="both"/>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120"/>
      <w:ind w:firstLine="0"/>
      <w:outlineLvl w:val="0"/>
    </w:pPr>
    <w:rPr>
      <w:rFonts w:asciiTheme="majorHAnsi" w:eastAsiaTheme="majorEastAsia" w:hAnsiTheme="majorHAnsi" w:cstheme="majorBidi"/>
      <w:b/>
      <w:bCs/>
      <w:color w:val="000000"/>
      <w:sz w:val="26"/>
      <w:szCs w:val="28"/>
    </w:rPr>
  </w:style>
  <w:style w:type="paragraph" w:styleId="Heading2">
    <w:name w:val="heading 2"/>
    <w:basedOn w:val="Normal"/>
    <w:next w:val="Normal"/>
    <w:link w:val="Heading2Char"/>
    <w:uiPriority w:val="9"/>
    <w:unhideWhenUsed/>
    <w:qFormat/>
    <w:rsid w:val="00FC693F"/>
    <w:pPr>
      <w:keepNext/>
      <w:keepLines/>
      <w:spacing w:before="120"/>
      <w:ind w:firstLine="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2A77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7FA"/>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2A77FA"/>
    <w:rPr>
      <w:vertAlign w:val="superscript"/>
    </w:rPr>
  </w:style>
  <w:style w:type="paragraph" w:styleId="NormalWeb">
    <w:name w:val="Normal (Web)"/>
    <w:basedOn w:val="Normal"/>
    <w:uiPriority w:val="99"/>
    <w:semiHidden/>
    <w:unhideWhenUsed/>
    <w:rsid w:val="00636E77"/>
    <w:pPr>
      <w:spacing w:before="100" w:beforeAutospacing="1" w:after="100" w:afterAutospacing="1" w:line="240" w:lineRule="auto"/>
      <w:ind w:firstLine="0"/>
      <w:jc w:val="left"/>
    </w:pPr>
    <w:rPr>
      <w:rFonts w:cs="Times New Roman"/>
      <w:szCs w:val="24"/>
    </w:rPr>
  </w:style>
  <w:style w:type="character" w:styleId="Hyperlink">
    <w:name w:val="Hyperlink"/>
    <w:basedOn w:val="DefaultParagraphFont"/>
    <w:uiPriority w:val="99"/>
    <w:unhideWhenUsed/>
    <w:rsid w:val="00316A33"/>
    <w:rPr>
      <w:color w:val="0000FF" w:themeColor="hyperlink"/>
      <w:u w:val="single"/>
    </w:rPr>
  </w:style>
  <w:style w:type="character" w:styleId="UnresolvedMention">
    <w:name w:val="Unresolved Mention"/>
    <w:basedOn w:val="DefaultParagraphFont"/>
    <w:uiPriority w:val="99"/>
    <w:semiHidden/>
    <w:unhideWhenUsed/>
    <w:rsid w:val="0031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alreaders.com/" TargetMode="External"/><Relationship Id="rId13" Type="http://schemas.openxmlformats.org/officeDocument/2006/relationships/hyperlink" Target="https://eduacces.ro/ro/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istant.goog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ll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tion.so" TargetMode="External"/><Relationship Id="rId4" Type="http://schemas.openxmlformats.org/officeDocument/2006/relationships/settings" Target="settings.xml"/><Relationship Id="rId9" Type="http://schemas.openxmlformats.org/officeDocument/2006/relationships/hyperlink" Target="https://www.texthelp.com/products/read-wri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2746</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Avantajele și riscurile utilizării inteligenței artificiale în crearea unui climat educațional incluziv</vt:lpstr>
    </vt:vector>
  </TitlesOfParts>
  <Manager/>
  <Company/>
  <LinksUpToDate>false</LinksUpToDate>
  <CharactersWithSpaces>18368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Avantajele și riscurile utilizării inteligenței artificiale în crearea unui climat educațional incluziv</dc:title>
  <dc:subject/>
  <dc:creator>Iuliana Alina Halac</dc:creator>
  <cp:keywords/>
  <dc:description>generated by python-docx</dc:description>
  <cp:lastModifiedBy>t87</cp:lastModifiedBy>
  <cp:revision>10</cp:revision>
  <dcterms:created xsi:type="dcterms:W3CDTF">2013-12-23T23:15:00Z</dcterms:created>
  <dcterms:modified xsi:type="dcterms:W3CDTF">2026-05-05T12:13:00Z</dcterms:modified>
  <cp:category/>
</cp:coreProperties>
</file>